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B1" w:rsidRDefault="00AE0C5A">
      <w:pPr>
        <w:framePr w:w="1440" w:h="1440" w:hRule="exact" w:hSpace="240" w:vSpace="240" w:wrap="auto" w:vAnchor="text" w:hAnchor="margin" w:x="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90" t="-3970" r="-3290" b="-3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BB1" w:rsidRDefault="00F55BB1">
      <w:pPr>
        <w:jc w:val="both"/>
        <w:rPr>
          <w:rFonts w:ascii="Times New Roman" w:hAnsi="Times New Roman"/>
        </w:rPr>
      </w:pPr>
      <w:bookmarkStart w:id="0" w:name="QuickMark"/>
      <w:bookmarkEnd w:id="0"/>
      <w:r>
        <w:rPr>
          <w:rFonts w:ascii="Times New Roman" w:hAnsi="Times New Roman"/>
        </w:rPr>
        <w:t xml:space="preserve"> </w:t>
      </w:r>
    </w:p>
    <w:p w:rsidR="00F55BB1" w:rsidRDefault="00F55BB1">
      <w:pPr>
        <w:tabs>
          <w:tab w:val="center" w:pos="540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PALM BEACH COUNTY</w:t>
      </w:r>
    </w:p>
    <w:p w:rsidR="00F55BB1" w:rsidRDefault="00F55BB1">
      <w:pPr>
        <w:tabs>
          <w:tab w:val="center" w:pos="5400"/>
        </w:tabs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CERTIFICATE OF SELF INSURANCE COVERAGE</w:t>
      </w:r>
    </w:p>
    <w:p w:rsidR="00F55BB1" w:rsidRDefault="009C75DA" w:rsidP="009C75D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P</w:t>
      </w:r>
      <w:r w:rsidR="00F55BB1">
        <w:rPr>
          <w:rFonts w:ascii="Times New Roman" w:hAnsi="Times New Roman"/>
          <w:b/>
          <w:bCs/>
          <w:sz w:val="18"/>
          <w:szCs w:val="18"/>
        </w:rPr>
        <w:t>ALM BEACH COUNTY BOARD OF COUNTY COMMISSIONERS</w:t>
      </w:r>
    </w:p>
    <w:p w:rsidR="00F55BB1" w:rsidRDefault="00F55BB1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6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</w:tblGrid>
      <w:tr w:rsidR="00F55BB1"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Date Issued</w:t>
            </w:r>
          </w:p>
          <w:p w:rsidR="00F55BB1" w:rsidRDefault="00B06F7F" w:rsidP="0051077D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530D8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DATE  \@ "MMMM d, yyyy"  \* MERGEFORMAT </w:instrText>
            </w:r>
            <w:r w:rsidR="00530D8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363C6">
              <w:rPr>
                <w:rFonts w:ascii="Times New Roman" w:hAnsi="Times New Roman"/>
                <w:noProof/>
                <w:sz w:val="18"/>
                <w:szCs w:val="18"/>
              </w:rPr>
              <w:t>October 19, 2017</w:t>
            </w:r>
            <w:r w:rsidR="00530D8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F55BB1" w:rsidRDefault="00F55BB1">
      <w:pPr>
        <w:rPr>
          <w:rFonts w:ascii="Times New Roman" w:hAnsi="Times New Roman"/>
          <w:vanish/>
          <w:sz w:val="18"/>
          <w:szCs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10"/>
        <w:gridCol w:w="4050"/>
      </w:tblGrid>
      <w:tr w:rsidR="00F55BB1">
        <w:trPr>
          <w:tblHeader/>
        </w:trPr>
        <w:tc>
          <w:tcPr>
            <w:tcW w:w="7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INSURED: 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PALM BEACH COUNTY, A POLITICAL SUBDIVISION OF THE STATE OF FLORIDA,</w:t>
            </w: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PALM BEACH COUNTY BOARD OF COUNTY COMMISSIONERS, ITS EMPLOYEES, AGENTS AND OFFICIALS</w:t>
            </w: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SELF INSURED ACCOUNT NO. 103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ADMINISTERED BY: </w:t>
            </w: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Gallagher Bassett Insurance Services, Inc.</w:t>
            </w:r>
          </w:p>
        </w:tc>
      </w:tr>
    </w:tbl>
    <w:p w:rsidR="00F55BB1" w:rsidRDefault="00F55BB1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This Certificate is issued as a matter of information only and confers no rights upon the Certificate Holder.  This Certificate does not amend</w:t>
      </w:r>
      <w:proofErr w:type="gramStart"/>
      <w:r>
        <w:rPr>
          <w:rFonts w:ascii="Times New Roman" w:hAnsi="Times New Roman"/>
          <w:b/>
          <w:bCs/>
          <w:sz w:val="16"/>
          <w:szCs w:val="16"/>
        </w:rPr>
        <w:t>,  extend</w:t>
      </w:r>
      <w:proofErr w:type="gramEnd"/>
      <w:r>
        <w:rPr>
          <w:rFonts w:ascii="Times New Roman" w:hAnsi="Times New Roman"/>
          <w:b/>
          <w:bCs/>
          <w:sz w:val="16"/>
          <w:szCs w:val="16"/>
        </w:rPr>
        <w:t>, nor alter the coverages or defense afforded by the self-insurance plans below.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1170"/>
        <w:gridCol w:w="1080"/>
        <w:gridCol w:w="4590"/>
      </w:tblGrid>
      <w:tr w:rsidR="00F55BB1">
        <w:trPr>
          <w:tblHeader/>
        </w:trPr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Type of Coverage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Effective Date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Expiration Date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Limits of Liability - in Thousands</w:t>
            </w:r>
          </w:p>
        </w:tc>
      </w:tr>
      <w:tr w:rsidR="00F55BB1"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GENERAL LIABILITY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Comprehensive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Premises/Operations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Products/Completed Operations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Contractual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Independent Contractors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Broad Form Property Damage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Personal Injury</w:t>
            </w: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(X) Errors &amp; Omissions </w:t>
            </w:r>
          </w:p>
          <w:p w:rsidR="000565B6" w:rsidRDefault="000565B6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11/1/90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Until canceled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or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revoked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Bodily Injury,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Property Damage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Personal Injury 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Combined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07023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 per Claimant</w:t>
            </w:r>
          </w:p>
          <w:p w:rsidR="00F55BB1" w:rsidRDefault="000702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$3</w:t>
            </w:r>
            <w:r w:rsidR="00F55BB1">
              <w:rPr>
                <w:rFonts w:ascii="Times New Roman" w:hAnsi="Times New Roman"/>
                <w:sz w:val="18"/>
                <w:szCs w:val="18"/>
              </w:rPr>
              <w:t>00 per Occurrence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Self-Insured in accordance with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S.768.28 F.S.</w:t>
            </w: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BB1"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AUTOMOBILE LIABILITY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Any Auto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 ) All Owned Autos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(Private Passenger Autos)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 ) All Owned Autos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(Other than Private Passenger)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Hired Autos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(X) Non Owned Autos</w:t>
            </w: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11/1/90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Until canceled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or</w:t>
            </w: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revoked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Bodily Injury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Property Damage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Combined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07023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 per Claimant</w:t>
            </w:r>
          </w:p>
          <w:p w:rsidR="00F55BB1" w:rsidRDefault="000702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$3</w:t>
            </w:r>
            <w:r w:rsidR="00F55BB1">
              <w:rPr>
                <w:rFonts w:ascii="Times New Roman" w:hAnsi="Times New Roman"/>
                <w:sz w:val="18"/>
                <w:szCs w:val="18"/>
              </w:rPr>
              <w:t>00 per Occurrence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Self-Insured in accordance with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S.768.28 F.S.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BB1"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WORKERS COMPENSATION</w:t>
            </w:r>
            <w:r w:rsidR="00F205D3">
              <w:rPr>
                <w:rFonts w:ascii="Times New Roman" w:hAnsi="Times New Roman"/>
                <w:sz w:val="18"/>
                <w:szCs w:val="18"/>
                <w:u w:val="single"/>
              </w:rPr>
              <w:t xml:space="preserve"> AND EMPLOYERS LIABILITY</w:t>
            </w: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1/1/99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Until canceled or revoked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55BB1" w:rsidRDefault="00F55BB1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205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WC Statutory Limits - Florida</w:t>
            </w:r>
          </w:p>
          <w:p w:rsidR="00F55BB1" w:rsidRDefault="00F55B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5BB1" w:rsidRDefault="00F55BB1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Self-Insured in accordance with 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S.440 F.S. </w:t>
            </w:r>
          </w:p>
        </w:tc>
      </w:tr>
      <w:tr w:rsidR="003E3893" w:rsidTr="003E3893">
        <w:trPr>
          <w:trHeight w:val="432"/>
        </w:trPr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 w:rsidP="00DC3386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E3893" w:rsidRDefault="003E3893" w:rsidP="00DC338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BLANKET DISHONESTY BOND</w:t>
            </w:r>
          </w:p>
          <w:p w:rsidR="003E3893" w:rsidRDefault="003E3893" w:rsidP="00DC338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3E3893" w:rsidRDefault="003E3893" w:rsidP="00DC3386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(Including faithful performance, money &amp; securities &amp; depositors forgery)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 w:rsidP="00DC3386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E3893" w:rsidRDefault="003E3893" w:rsidP="003E3893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11/1/90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 w:rsidP="00DC3386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E3893" w:rsidRDefault="003E3893" w:rsidP="00DC3386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Until canceled or revoked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 w:rsidP="00DC3386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E3893" w:rsidRDefault="00F205D3" w:rsidP="00DC338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$25</w:t>
            </w:r>
            <w:r w:rsidR="003E3893">
              <w:rPr>
                <w:rFonts w:ascii="Times New Roman" w:hAnsi="Times New Roman"/>
                <w:sz w:val="18"/>
                <w:szCs w:val="18"/>
              </w:rPr>
              <w:t xml:space="preserve"> Per Occurrence</w:t>
            </w:r>
          </w:p>
          <w:p w:rsidR="003E3893" w:rsidRDefault="003E3893" w:rsidP="00DC338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3893" w:rsidRDefault="003E3893" w:rsidP="003E3893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Self-Insured in accordance with </w:t>
            </w:r>
            <w:r w:rsidRPr="003E3893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S.768.28 F.S.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E3893"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893" w:rsidTr="003E3893"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E3893" w:rsidRDefault="003E3893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DESCRIPTION OF OPERATIONS/LOCATIONS/VEHICLES/SPECIAL/ITEMS:</w:t>
            </w:r>
          </w:p>
          <w:p w:rsidR="003E3893" w:rsidRDefault="003E3893" w:rsidP="00BE025D">
            <w:pPr>
              <w:spacing w:after="5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Re:  All Operations of the Palm Beach County Board of County Commissioners</w:t>
            </w:r>
            <w:r w:rsidR="006879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8912C9" w:rsidRPr="008912C9" w:rsidRDefault="008912C9" w:rsidP="00BE025D">
            <w:pPr>
              <w:spacing w:after="5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E3893" w:rsidTr="003E3893"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E3893" w:rsidRDefault="003E3893">
            <w:pPr>
              <w:spacing w:after="5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CANCELLATION: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Should any of the above described coverages be canceled before the expiration date thereof, the issuing County will</w:t>
            </w:r>
            <w:r w:rsidR="00766B99">
              <w:rPr>
                <w:rFonts w:ascii="Times New Roman" w:hAnsi="Times New Roman"/>
                <w:sz w:val="18"/>
                <w:szCs w:val="18"/>
              </w:rPr>
              <w:t xml:space="preserve"> endeavor to mail 10 days writt</w:t>
            </w:r>
            <w:r>
              <w:rPr>
                <w:rFonts w:ascii="Times New Roman" w:hAnsi="Times New Roman"/>
                <w:sz w:val="18"/>
                <w:szCs w:val="18"/>
              </w:rPr>
              <w:t>n notice to the Certificate Holder named, but failure to mail such notice shall impose no obligation or liability of any kind upon the County, its agents, or representatives.</w:t>
            </w:r>
          </w:p>
        </w:tc>
      </w:tr>
      <w:tr w:rsidR="003E3893" w:rsidTr="003E3893"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3893" w:rsidRDefault="003E3893">
            <w:pPr>
              <w:spacing w:line="12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E3893" w:rsidRDefault="003E3893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CERTIFICATE HOLDER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6"/>
            </w:tblGrid>
            <w:tr w:rsidR="00D235AE">
              <w:trPr>
                <w:trHeight w:val="384"/>
              </w:trPr>
              <w:tc>
                <w:tcPr>
                  <w:tcW w:w="8416" w:type="dxa"/>
                </w:tcPr>
                <w:p w:rsidR="008A33B5" w:rsidRDefault="00F363C6" w:rsidP="008A33B5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2"/>
                        <w:szCs w:val="16"/>
                      </w:rPr>
                      <w:id w:val="-416710370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r w:rsidR="00925153" w:rsidRPr="0012397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:rsidR="00D235AE" w:rsidRDefault="00EE0341" w:rsidP="008A33B5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FOR INFORMATION ONLY</w:t>
                  </w:r>
                </w:p>
              </w:tc>
            </w:tr>
          </w:tbl>
          <w:p w:rsidR="003E3893" w:rsidRDefault="003E38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</w:t>
            </w:r>
            <w:r w:rsidR="0032393C">
              <w:rPr>
                <w:rFonts w:ascii="TypoUpright BT" w:hAnsi="TypoUpright BT" w:cs="TypoUpright BT"/>
                <w:sz w:val="50"/>
                <w:szCs w:val="50"/>
                <w:u w:val="single"/>
              </w:rPr>
              <w:t>Scott Marting</w:t>
            </w:r>
            <w:r>
              <w:rPr>
                <w:rFonts w:ascii="TypoUpright BT" w:hAnsi="TypoUpright BT" w:cs="TypoUpright BT"/>
                <w:sz w:val="44"/>
                <w:szCs w:val="44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</w:p>
          <w:p w:rsidR="003E3893" w:rsidRDefault="003239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SCOTT MARTING</w:t>
            </w:r>
            <w:r w:rsidR="003E3893">
              <w:rPr>
                <w:rFonts w:ascii="Times New Roman" w:hAnsi="Times New Roman"/>
                <w:sz w:val="18"/>
                <w:szCs w:val="18"/>
              </w:rPr>
              <w:t xml:space="preserve">, DIRECTOR                             </w:t>
            </w:r>
          </w:p>
          <w:p w:rsidR="003E3893" w:rsidRDefault="003E38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55BB1" w:rsidRDefault="00F55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Risk Management Department</w:t>
      </w:r>
      <w:proofErr w:type="gramStart"/>
      <w:r>
        <w:rPr>
          <w:rFonts w:ascii="Times New Roman" w:hAnsi="Times New Roman"/>
          <w:sz w:val="18"/>
          <w:szCs w:val="18"/>
        </w:rPr>
        <w:t>,  1</w:t>
      </w:r>
      <w:r w:rsidR="00BE025D"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8"/>
          <w:szCs w:val="18"/>
        </w:rPr>
        <w:t>0</w:t>
      </w:r>
      <w:proofErr w:type="gramEnd"/>
      <w:r>
        <w:rPr>
          <w:rFonts w:ascii="Times New Roman" w:hAnsi="Times New Roman"/>
          <w:sz w:val="18"/>
          <w:szCs w:val="18"/>
        </w:rPr>
        <w:t xml:space="preserve"> Australian Avenue, Suite </w:t>
      </w:r>
      <w:r w:rsidR="00BE025D">
        <w:rPr>
          <w:rFonts w:ascii="Times New Roman" w:hAnsi="Times New Roman"/>
          <w:sz w:val="18"/>
          <w:szCs w:val="18"/>
        </w:rPr>
        <w:t>200</w:t>
      </w:r>
      <w:r>
        <w:rPr>
          <w:rFonts w:ascii="Times New Roman" w:hAnsi="Times New Roman"/>
          <w:sz w:val="18"/>
          <w:szCs w:val="18"/>
        </w:rPr>
        <w:t>, W. Palm Beach, FL 33406 (561) 233-5400</w:t>
      </w:r>
    </w:p>
    <w:sectPr w:rsidR="00F55BB1" w:rsidSect="00F55BB1">
      <w:pgSz w:w="12240" w:h="15840"/>
      <w:pgMar w:top="316" w:right="720" w:bottom="316" w:left="720" w:header="316" w:footer="31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Uprigh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oQSmWBr547Dip8x5msYbLK237GPw+fZUdn+VtdR8ivQSCZ3c0UdFNoz2YdoVwRC9PSafq2OACeHEoZBCT9LtA==" w:salt="HXyng1gPI0YKFoXNl6vwq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B1"/>
    <w:rsid w:val="00014505"/>
    <w:rsid w:val="000564C1"/>
    <w:rsid w:val="000565B6"/>
    <w:rsid w:val="00070231"/>
    <w:rsid w:val="000850B0"/>
    <w:rsid w:val="000F229A"/>
    <w:rsid w:val="001A0B0E"/>
    <w:rsid w:val="001B6EBC"/>
    <w:rsid w:val="002A7A0F"/>
    <w:rsid w:val="002D4E5C"/>
    <w:rsid w:val="0032393C"/>
    <w:rsid w:val="00334AFB"/>
    <w:rsid w:val="00346C0A"/>
    <w:rsid w:val="003D0D66"/>
    <w:rsid w:val="003E3893"/>
    <w:rsid w:val="00453874"/>
    <w:rsid w:val="004A34AE"/>
    <w:rsid w:val="0051077D"/>
    <w:rsid w:val="00527D9E"/>
    <w:rsid w:val="00530D87"/>
    <w:rsid w:val="005653C0"/>
    <w:rsid w:val="005828DA"/>
    <w:rsid w:val="00600635"/>
    <w:rsid w:val="00663DAC"/>
    <w:rsid w:val="00683F65"/>
    <w:rsid w:val="00687970"/>
    <w:rsid w:val="006B13D0"/>
    <w:rsid w:val="006E0CF1"/>
    <w:rsid w:val="006F5E51"/>
    <w:rsid w:val="00732FBD"/>
    <w:rsid w:val="0074596B"/>
    <w:rsid w:val="00766B99"/>
    <w:rsid w:val="00784326"/>
    <w:rsid w:val="0079423D"/>
    <w:rsid w:val="007B0446"/>
    <w:rsid w:val="00814CFB"/>
    <w:rsid w:val="0082007E"/>
    <w:rsid w:val="008912C9"/>
    <w:rsid w:val="008A33B5"/>
    <w:rsid w:val="00925153"/>
    <w:rsid w:val="009C6EC8"/>
    <w:rsid w:val="009C75DA"/>
    <w:rsid w:val="00A17F56"/>
    <w:rsid w:val="00AA613B"/>
    <w:rsid w:val="00AE0C5A"/>
    <w:rsid w:val="00AF1E83"/>
    <w:rsid w:val="00B06F7F"/>
    <w:rsid w:val="00B95941"/>
    <w:rsid w:val="00BE025D"/>
    <w:rsid w:val="00C949A9"/>
    <w:rsid w:val="00CE4FE4"/>
    <w:rsid w:val="00D02E6B"/>
    <w:rsid w:val="00D235AE"/>
    <w:rsid w:val="00D26FA1"/>
    <w:rsid w:val="00D565D2"/>
    <w:rsid w:val="00D62E76"/>
    <w:rsid w:val="00DC3386"/>
    <w:rsid w:val="00E53C24"/>
    <w:rsid w:val="00E65DF1"/>
    <w:rsid w:val="00E668DF"/>
    <w:rsid w:val="00E84B26"/>
    <w:rsid w:val="00EC18E4"/>
    <w:rsid w:val="00EE0341"/>
    <w:rsid w:val="00F205D3"/>
    <w:rsid w:val="00F363C6"/>
    <w:rsid w:val="00F42DF4"/>
    <w:rsid w:val="00F55BB1"/>
    <w:rsid w:val="00F6001F"/>
    <w:rsid w:val="00F613D3"/>
    <w:rsid w:val="00F66682"/>
    <w:rsid w:val="00F77B19"/>
    <w:rsid w:val="00FB005B"/>
    <w:rsid w:val="00FC577B"/>
    <w:rsid w:val="00FF2AB3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B87F3D-6C79-45A1-AEF0-6893EC39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EB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B6EBC"/>
  </w:style>
  <w:style w:type="paragraph" w:styleId="BalloonText">
    <w:name w:val="Balloon Text"/>
    <w:basedOn w:val="Normal"/>
    <w:semiHidden/>
    <w:rsid w:val="005828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3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4A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4AE"/>
    <w:rPr>
      <w:rFonts w:ascii="Courier" w:hAnsi="Courier"/>
      <w:b/>
      <w:bCs/>
    </w:rPr>
  </w:style>
  <w:style w:type="character" w:styleId="PlaceholderText">
    <w:name w:val="Placeholder Text"/>
    <w:basedOn w:val="DefaultParagraphFont"/>
    <w:uiPriority w:val="99"/>
    <w:semiHidden/>
    <w:rsid w:val="006B13D0"/>
    <w:rPr>
      <w:color w:val="808080"/>
    </w:rPr>
  </w:style>
  <w:style w:type="paragraph" w:customStyle="1" w:styleId="Default">
    <w:name w:val="Default"/>
    <w:rsid w:val="00D235A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3812-653A-42AC-8A6E-90309AC0A713}"/>
      </w:docPartPr>
      <w:docPartBody>
        <w:p w:rsidR="00115B1A" w:rsidRDefault="009D053E">
          <w:r w:rsidRPr="001239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Upright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E"/>
    <w:rsid w:val="00115B1A"/>
    <w:rsid w:val="009D053E"/>
    <w:rsid w:val="00B30598"/>
    <w:rsid w:val="00FC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5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61EE0E0B9794BAF04D64713465C3E" ma:contentTypeVersion="4" ma:contentTypeDescription="Create a new document." ma:contentTypeScope="" ma:versionID="95878d6216889e923366c557bb655d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54b999c86f4a809d77151391b437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064AA-2536-40F0-9CFF-51A8309ED498}"/>
</file>

<file path=customXml/itemProps2.xml><?xml version="1.0" encoding="utf-8"?>
<ds:datastoreItem xmlns:ds="http://schemas.openxmlformats.org/officeDocument/2006/customXml" ds:itemID="{429CEDF0-BAF1-49E9-BDD2-74150AD865DE}"/>
</file>

<file path=customXml/itemProps3.xml><?xml version="1.0" encoding="utf-8"?>
<ds:datastoreItem xmlns:ds="http://schemas.openxmlformats.org/officeDocument/2006/customXml" ds:itemID="{81DD4892-5596-4556-947F-27438EBA8607}"/>
</file>

<file path=customXml/itemProps4.xml><?xml version="1.0" encoding="utf-8"?>
<ds:datastoreItem xmlns:ds="http://schemas.openxmlformats.org/officeDocument/2006/customXml" ds:itemID="{5C0C359A-999F-41F5-B1DC-10FF6474B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Certificate of Insurance</vt:lpstr>
    </vt:vector>
  </TitlesOfParts>
  <Company>Palm Beach County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Certificate of Insurance</dc:title>
  <dc:creator>Palm Beach County</dc:creator>
  <cp:lastModifiedBy>Brian Palacios</cp:lastModifiedBy>
  <cp:revision>6</cp:revision>
  <cp:lastPrinted>2013-06-17T14:21:00Z</cp:lastPrinted>
  <dcterms:created xsi:type="dcterms:W3CDTF">2017-10-19T19:19:00Z</dcterms:created>
  <dcterms:modified xsi:type="dcterms:W3CDTF">2017-10-19T19:29:00Z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0x010100D5461EE0E0B9794BAF04D64713465C3E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